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34" w:rsidRPr="005E1091" w:rsidRDefault="00CF4234" w:rsidP="00CF4234">
      <w:pPr>
        <w:widowControl w:val="0"/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  <w:r w:rsidRPr="005E1091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ESTADO DE MÉXICO Y MUNICIPIOS, EN LA SÉPTIMA SESIÓN ORDINARIA DEL VEINTE DE FEBRERO DE DOS MIL DIECINUEVE, EN EL RECURSO DE REVISIÓN 04618/INFOEM/IP/RR/2018</w:t>
      </w:r>
      <w:r w:rsidRPr="005E1091">
        <w:rPr>
          <w:rFonts w:ascii="Palatino Linotype" w:eastAsia="Calibri" w:hAnsi="Palatino Linotype" w:cs="Arial"/>
          <w:b/>
          <w:color w:val="000000"/>
        </w:rPr>
        <w:t>.</w:t>
      </w:r>
    </w:p>
    <w:p w:rsidR="00CF4234" w:rsidRPr="005E1091" w:rsidRDefault="00CF4234" w:rsidP="00CF4234">
      <w:pPr>
        <w:widowControl w:val="0"/>
        <w:spacing w:line="360" w:lineRule="auto"/>
        <w:jc w:val="both"/>
        <w:rPr>
          <w:rFonts w:ascii="Palatino Linotype" w:hAnsi="Palatino Linotype" w:cs="Arial"/>
          <w:b/>
        </w:rPr>
      </w:pPr>
    </w:p>
    <w:p w:rsidR="00CF4234" w:rsidRPr="005E1091" w:rsidRDefault="00CF4234" w:rsidP="00CF4234">
      <w:pPr>
        <w:spacing w:line="360" w:lineRule="auto"/>
        <w:jc w:val="both"/>
        <w:rPr>
          <w:rFonts w:ascii="Palatino Linotype" w:hAnsi="Palatino Linotype" w:cs="Arial"/>
        </w:rPr>
      </w:pPr>
      <w:r w:rsidRPr="005E1091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5E1091">
        <w:rPr>
          <w:rFonts w:ascii="Palatino Linotype" w:hAnsi="Palatino Linotype" w:cs="Arial"/>
          <w:b/>
          <w:lang w:val="es-ES_tradnl"/>
        </w:rPr>
        <w:t xml:space="preserve"> </w:t>
      </w:r>
      <w:r w:rsidRPr="005E1091">
        <w:rPr>
          <w:rFonts w:ascii="Palatino Linotype" w:hAnsi="Palatino Linotype" w:cs="Arial"/>
          <w:b/>
        </w:rPr>
        <w:t xml:space="preserve">EVA ABAID YAPUR </w:t>
      </w:r>
      <w:r w:rsidRPr="005E1091">
        <w:rPr>
          <w:rFonts w:ascii="Palatino Linotype" w:hAnsi="Palatino Linotype" w:cs="Arial"/>
        </w:rPr>
        <w:t xml:space="preserve">emite </w:t>
      </w:r>
      <w:r w:rsidRPr="005E1091">
        <w:rPr>
          <w:rFonts w:ascii="Palatino Linotype" w:hAnsi="Palatino Linotype" w:cs="Arial"/>
          <w:b/>
        </w:rPr>
        <w:t xml:space="preserve">VOTO PARTICULAR </w:t>
      </w:r>
      <w:r w:rsidRPr="005E1091">
        <w:rPr>
          <w:rFonts w:ascii="Palatino Linotype" w:hAnsi="Palatino Linotype" w:cs="Arial"/>
        </w:rPr>
        <w:t xml:space="preserve">respecto de la resolución dictada en el recurso de revisión </w:t>
      </w:r>
      <w:r w:rsidRPr="005E1091">
        <w:rPr>
          <w:rFonts w:ascii="Palatino Linotype" w:eastAsia="Calibri" w:hAnsi="Palatino Linotype" w:cs="Arial"/>
          <w:b/>
          <w:color w:val="000000"/>
        </w:rPr>
        <w:t>04618/INFOEM/IP/RR/2018</w:t>
      </w:r>
      <w:r w:rsidRPr="005E1091">
        <w:rPr>
          <w:rFonts w:ascii="Palatino Linotype" w:hAnsi="Palatino Linotype" w:cs="Arial"/>
        </w:rPr>
        <w:t xml:space="preserve">, pronunciada por el Pleno de este Instituto ante el proyecto presentado por el Comisionado </w:t>
      </w:r>
      <w:r w:rsidRPr="005E1091">
        <w:rPr>
          <w:rFonts w:ascii="Palatino Linotype" w:hAnsi="Palatino Linotype" w:cs="Arial"/>
          <w:b/>
        </w:rPr>
        <w:t>JOSÉ GUADALUPE LUNA HERNÁNDEZ</w:t>
      </w:r>
      <w:r w:rsidRPr="005E1091">
        <w:rPr>
          <w:rFonts w:ascii="Palatino Linotype" w:hAnsi="Palatino Linotype" w:cs="Arial"/>
        </w:rPr>
        <w:t>, que es del tenor siguiente.</w:t>
      </w:r>
    </w:p>
    <w:p w:rsidR="00CF4234" w:rsidRPr="005E1091" w:rsidRDefault="00CF4234" w:rsidP="00CF423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E1091">
        <w:rPr>
          <w:rFonts w:ascii="Palatino Linotype" w:hAnsi="Palatino Linotype"/>
        </w:rPr>
        <w:t>Es de destacar, que la suscrita comparte esencialmente las causas que dieron origen al recurso de revisión materia del presente voto; empero, resulta necesario precisar algunas consideraciones de hecho y de derecho, tocante a</w:t>
      </w:r>
      <w:r w:rsidR="00995279" w:rsidRPr="005E1091">
        <w:rPr>
          <w:rFonts w:ascii="Palatino Linotype" w:hAnsi="Palatino Linotype"/>
        </w:rPr>
        <w:t>l sentido de la resolución de mérito.</w:t>
      </w:r>
    </w:p>
    <w:p w:rsidR="00CF4234" w:rsidRPr="005E1091" w:rsidRDefault="00CF4234" w:rsidP="00CF423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E1091">
        <w:rPr>
          <w:rFonts w:ascii="Palatino Linotype" w:hAnsi="Palatino Linotype"/>
        </w:rPr>
        <w:t xml:space="preserve">Tal y como quedó debidamente asentado en la resolución materia del presente voto, la particular requirió del </w:t>
      </w:r>
      <w:r w:rsidRPr="005E1091">
        <w:rPr>
          <w:rFonts w:ascii="Palatino Linotype" w:hAnsi="Palatino Linotype"/>
          <w:b/>
          <w:bCs/>
          <w:color w:val="000000"/>
          <w:szCs w:val="22"/>
        </w:rPr>
        <w:t xml:space="preserve">Sistema Municipal Para el Desarrollo Integral de la Familia de </w:t>
      </w:r>
      <w:r w:rsidRPr="005E1091">
        <w:rPr>
          <w:rFonts w:ascii="Palatino Linotype" w:hAnsi="Palatino Linotype"/>
          <w:b/>
          <w:bCs/>
          <w:color w:val="000000"/>
          <w:szCs w:val="22"/>
        </w:rPr>
        <w:lastRenderedPageBreak/>
        <w:t>Lerma</w:t>
      </w:r>
      <w:r w:rsidRPr="005E1091">
        <w:rPr>
          <w:rFonts w:ascii="Palatino Linotype" w:hAnsi="Palatino Linotype"/>
          <w:b/>
        </w:rPr>
        <w:t xml:space="preserve">, </w:t>
      </w:r>
      <w:r w:rsidRPr="005E1091">
        <w:rPr>
          <w:rFonts w:ascii="Palatino Linotype" w:hAnsi="Palatino Linotype"/>
        </w:rPr>
        <w:t xml:space="preserve">en lo sucesivo </w:t>
      </w:r>
      <w:r w:rsidRPr="005E1091">
        <w:rPr>
          <w:rFonts w:ascii="Palatino Linotype" w:hAnsi="Palatino Linotype"/>
          <w:b/>
        </w:rPr>
        <w:t xml:space="preserve">EL SUJETO OBLIGADO, </w:t>
      </w:r>
      <w:r w:rsidRPr="005E1091">
        <w:rPr>
          <w:rFonts w:ascii="Palatino Linotype" w:hAnsi="Palatino Linotype"/>
        </w:rPr>
        <w:t>saber cómo es la atención que tienen con los niños por cuanto hace a ropa, alimentos y cuidados emocionales y médicos.</w:t>
      </w:r>
    </w:p>
    <w:p w:rsidR="00CF4234" w:rsidRPr="005E1091" w:rsidRDefault="00CF4234" w:rsidP="00CF4234">
      <w:pPr>
        <w:spacing w:line="360" w:lineRule="auto"/>
        <w:jc w:val="both"/>
        <w:rPr>
          <w:rFonts w:ascii="Palatino Linotype" w:hAnsi="Palatino Linotype" w:cs="Arial"/>
        </w:rPr>
      </w:pPr>
      <w:r w:rsidRPr="005E1091">
        <w:rPr>
          <w:rFonts w:ascii="Palatino Linotype" w:hAnsi="Palatino Linotype" w:cs="Arial"/>
        </w:rPr>
        <w:t xml:space="preserve">Es así que, de las constancias que obran en el expediente electrónico del Sistema de Acceso a la Información Pública Mexiquense SAIMEX, se advierte que, </w:t>
      </w:r>
      <w:r w:rsidRPr="005E1091">
        <w:rPr>
          <w:rFonts w:ascii="Palatino Linotype" w:hAnsi="Palatino Linotype" w:cs="Arial"/>
          <w:b/>
        </w:rPr>
        <w:t xml:space="preserve">EL SUJETO OBLIGADO </w:t>
      </w:r>
      <w:r w:rsidRPr="005E1091">
        <w:rPr>
          <w:rFonts w:ascii="Palatino Linotype" w:hAnsi="Palatino Linotype" w:cs="Arial"/>
        </w:rPr>
        <w:t xml:space="preserve">requirió a la solicitante aclarara su solicitud de información respecto al tipo de atención a la que se refería, toda vez que </w:t>
      </w:r>
      <w:r w:rsidR="0088410D" w:rsidRPr="005E1091">
        <w:rPr>
          <w:rFonts w:ascii="Palatino Linotype" w:hAnsi="Palatino Linotype" w:cs="Arial"/>
        </w:rPr>
        <w:t>no contaba con albergues infantiles.</w:t>
      </w:r>
    </w:p>
    <w:p w:rsidR="0088410D" w:rsidRPr="005E1091" w:rsidRDefault="0088410D" w:rsidP="00CF4234">
      <w:pPr>
        <w:spacing w:line="360" w:lineRule="auto"/>
        <w:jc w:val="both"/>
        <w:rPr>
          <w:rFonts w:ascii="Palatino Linotype" w:hAnsi="Palatino Linotype" w:cs="Arial"/>
        </w:rPr>
      </w:pPr>
    </w:p>
    <w:p w:rsidR="0088410D" w:rsidRPr="005E1091" w:rsidRDefault="0088410D" w:rsidP="00CF4234">
      <w:pPr>
        <w:spacing w:line="360" w:lineRule="auto"/>
        <w:jc w:val="both"/>
        <w:rPr>
          <w:rFonts w:ascii="Palatino Linotype" w:hAnsi="Palatino Linotype" w:cs="Arial"/>
        </w:rPr>
      </w:pPr>
      <w:r w:rsidRPr="005E1091">
        <w:rPr>
          <w:rFonts w:ascii="Palatino Linotype" w:hAnsi="Palatino Linotype" w:cs="Arial"/>
        </w:rPr>
        <w:t xml:space="preserve">Bajo ese orden de ideas, </w:t>
      </w:r>
      <w:r w:rsidRPr="005E1091">
        <w:rPr>
          <w:rFonts w:ascii="Palatino Linotype" w:hAnsi="Palatino Linotype" w:cs="Arial"/>
          <w:b/>
        </w:rPr>
        <w:t xml:space="preserve">EL SUJETO OBLIGADO </w:t>
      </w:r>
      <w:r w:rsidRPr="005E1091">
        <w:rPr>
          <w:rFonts w:ascii="Palatino Linotype" w:hAnsi="Palatino Linotype" w:cs="Arial"/>
        </w:rPr>
        <w:t xml:space="preserve">tuvo por no presentada la solicitud de información de la solicitante toda vez que, ésta no atendió el requerimiento de aclaración que le fuera planteado. </w:t>
      </w:r>
    </w:p>
    <w:p w:rsidR="0088410D" w:rsidRPr="005E1091" w:rsidRDefault="00CF4234" w:rsidP="0088410D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E1091">
        <w:rPr>
          <w:rFonts w:ascii="Palatino Linotype" w:hAnsi="Palatino Linotype"/>
        </w:rPr>
        <w:t xml:space="preserve">Inconforme con la </w:t>
      </w:r>
      <w:r w:rsidR="0088410D" w:rsidRPr="005E1091">
        <w:rPr>
          <w:rFonts w:ascii="Palatino Linotype" w:hAnsi="Palatino Linotype"/>
        </w:rPr>
        <w:t xml:space="preserve">determinación del </w:t>
      </w:r>
      <w:r w:rsidR="0088410D" w:rsidRPr="005E1091">
        <w:rPr>
          <w:rFonts w:ascii="Palatino Linotype" w:hAnsi="Palatino Linotype"/>
          <w:b/>
        </w:rPr>
        <w:t xml:space="preserve">SUJETO OBLIGADO, </w:t>
      </w:r>
      <w:r w:rsidR="0088410D" w:rsidRPr="005E1091">
        <w:rPr>
          <w:rFonts w:ascii="Palatino Linotype" w:hAnsi="Palatino Linotype"/>
        </w:rPr>
        <w:t xml:space="preserve">la particular </w:t>
      </w:r>
      <w:r w:rsidRPr="005E1091">
        <w:rPr>
          <w:rFonts w:ascii="Palatino Linotype" w:hAnsi="Palatino Linotype"/>
        </w:rPr>
        <w:t>interpuso el recurso de revisión al rubro señalado, en el que</w:t>
      </w:r>
      <w:r w:rsidR="0088410D" w:rsidRPr="005E1091">
        <w:rPr>
          <w:rFonts w:ascii="Palatino Linotype" w:hAnsi="Palatino Linotype"/>
        </w:rPr>
        <w:t xml:space="preserve"> medularmente señaló que no se le había dado respuesta dentro del plazo legal previsto para ello.</w:t>
      </w:r>
    </w:p>
    <w:p w:rsidR="0088410D" w:rsidRPr="005E1091" w:rsidRDefault="0088410D" w:rsidP="0088410D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5E1091">
        <w:rPr>
          <w:rFonts w:ascii="Palatino Linotype" w:hAnsi="Palatino Linotype"/>
        </w:rPr>
        <w:t xml:space="preserve">En ese tenor, </w:t>
      </w:r>
      <w:r w:rsidRPr="005E1091">
        <w:rPr>
          <w:rFonts w:ascii="Palatino Linotype" w:hAnsi="Palatino Linotype"/>
          <w:b/>
        </w:rPr>
        <w:t xml:space="preserve">EL SUJETO OBLIGADO </w:t>
      </w:r>
      <w:r w:rsidRPr="005E1091">
        <w:rPr>
          <w:rFonts w:ascii="Palatino Linotype" w:hAnsi="Palatino Linotype"/>
        </w:rPr>
        <w:t>mediante Informe Justificado remitió un archivo electrónic</w:t>
      </w:r>
      <w:r w:rsidR="00930589">
        <w:rPr>
          <w:rFonts w:ascii="Palatino Linotype" w:hAnsi="Palatino Linotype"/>
        </w:rPr>
        <w:t>o a través del cual se pronunció</w:t>
      </w:r>
      <w:r w:rsidRPr="005E1091">
        <w:rPr>
          <w:rFonts w:ascii="Palatino Linotype" w:hAnsi="Palatino Linotype"/>
        </w:rPr>
        <w:t xml:space="preserve"> respecto de la atención que se brinda a los niños en las estancias infantiles, destacando que dicho Informe fue pues</w:t>
      </w:r>
      <w:r w:rsidR="00930589">
        <w:rPr>
          <w:rFonts w:ascii="Palatino Linotype" w:hAnsi="Palatino Linotype"/>
        </w:rPr>
        <w:t xml:space="preserve">to a la vista de la solicitante, al actualizar el supuesto legal previsto en el artículo 185, fracción III de </w:t>
      </w:r>
      <w:proofErr w:type="spellStart"/>
      <w:r w:rsidR="00930589">
        <w:rPr>
          <w:rFonts w:ascii="Palatino Linotype" w:hAnsi="Palatino Linotype"/>
        </w:rPr>
        <w:t>ka</w:t>
      </w:r>
      <w:proofErr w:type="spellEnd"/>
      <w:r w:rsidR="00930589">
        <w:rPr>
          <w:rFonts w:ascii="Palatino Linotype" w:hAnsi="Palatino Linotype"/>
        </w:rPr>
        <w:t xml:space="preserve"> Ley de la materia.</w:t>
      </w:r>
    </w:p>
    <w:p w:rsidR="0088410D" w:rsidRPr="005E1091" w:rsidRDefault="00CF4234" w:rsidP="00CF4234">
      <w:pPr>
        <w:spacing w:line="360" w:lineRule="auto"/>
        <w:jc w:val="both"/>
        <w:rPr>
          <w:rFonts w:ascii="Palatino Linotype" w:hAnsi="Palatino Linotype" w:cs="Arial"/>
        </w:rPr>
      </w:pPr>
      <w:r w:rsidRPr="005E1091">
        <w:rPr>
          <w:rFonts w:ascii="Palatino Linotype" w:hAnsi="Palatino Linotype" w:cs="Arial"/>
        </w:rPr>
        <w:t xml:space="preserve">Atento a lo anterior, la Ponencia Resolutora determinó </w:t>
      </w:r>
      <w:r w:rsidR="0088410D" w:rsidRPr="005E1091">
        <w:rPr>
          <w:rFonts w:ascii="Palatino Linotype" w:hAnsi="Palatino Linotype" w:cs="Arial"/>
          <w:b/>
        </w:rPr>
        <w:t xml:space="preserve">SOBRESEER </w:t>
      </w:r>
      <w:r w:rsidR="0088410D" w:rsidRPr="005E1091">
        <w:rPr>
          <w:rFonts w:ascii="Palatino Linotype" w:hAnsi="Palatino Linotype" w:cs="Arial"/>
        </w:rPr>
        <w:t xml:space="preserve">el recurso de revisión de conformidad con </w:t>
      </w:r>
      <w:r w:rsidR="0088410D" w:rsidRPr="005E1091">
        <w:rPr>
          <w:rFonts w:ascii="Palatino Linotype" w:eastAsia="Calibri" w:hAnsi="Palatino Linotype"/>
        </w:rPr>
        <w:t xml:space="preserve">la fracción III del artículo 192 de la Ley de Transparencia </w:t>
      </w:r>
      <w:r w:rsidR="0088410D" w:rsidRPr="005E1091">
        <w:rPr>
          <w:rFonts w:ascii="Palatino Linotype" w:eastAsia="Calibri" w:hAnsi="Palatino Linotype"/>
        </w:rPr>
        <w:lastRenderedPageBreak/>
        <w:t xml:space="preserve">y Acceso a la Información Pública del Estado de México y Municipios; pues </w:t>
      </w:r>
      <w:r w:rsidR="00930589">
        <w:rPr>
          <w:rFonts w:ascii="Palatino Linotype" w:eastAsia="Calibri" w:hAnsi="Palatino Linotype"/>
        </w:rPr>
        <w:t>consideró</w:t>
      </w:r>
      <w:r w:rsidR="0088410D" w:rsidRPr="005E1091">
        <w:rPr>
          <w:rFonts w:ascii="Palatino Linotype" w:eastAsia="Calibri" w:hAnsi="Palatino Linotype"/>
        </w:rPr>
        <w:t xml:space="preserve"> que al haber existido un pronunciamiento por parte del </w:t>
      </w:r>
      <w:r w:rsidR="0088410D" w:rsidRPr="005E1091">
        <w:rPr>
          <w:rFonts w:ascii="Palatino Linotype" w:eastAsia="Calibri" w:hAnsi="Palatino Linotype"/>
          <w:b/>
        </w:rPr>
        <w:t xml:space="preserve">SUJETO OBLIGADO </w:t>
      </w:r>
      <w:r w:rsidR="0088410D" w:rsidRPr="005E1091">
        <w:rPr>
          <w:rFonts w:ascii="Palatino Linotype" w:eastAsia="Calibri" w:hAnsi="Palatino Linotype"/>
        </w:rPr>
        <w:t xml:space="preserve">mediante Informe </w:t>
      </w:r>
      <w:r w:rsidR="00995279" w:rsidRPr="005E1091">
        <w:rPr>
          <w:rFonts w:ascii="Palatino Linotype" w:eastAsia="Calibri" w:hAnsi="Palatino Linotype"/>
        </w:rPr>
        <w:t xml:space="preserve">Justificado se modificaba el pronunciamiento considerado improcedente de no haber atendido la solicitud de información. </w:t>
      </w:r>
    </w:p>
    <w:p w:rsidR="00995279" w:rsidRPr="005E1091" w:rsidRDefault="00995279" w:rsidP="00CF4234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995279" w:rsidRDefault="00CF4234" w:rsidP="00CF4234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5E1091">
        <w:rPr>
          <w:rFonts w:ascii="Palatino Linotype" w:hAnsi="Palatino Linotype" w:cs="Arial"/>
          <w:lang w:val="es-MX"/>
        </w:rPr>
        <w:t>En ese sentido, la que suscribe reitera, que si bien coincide con las causas que dieron origen al recurso de revisión, difie</w:t>
      </w:r>
      <w:r w:rsidR="00995279" w:rsidRPr="005E1091">
        <w:rPr>
          <w:rFonts w:ascii="Palatino Linotype" w:hAnsi="Palatino Linotype" w:cs="Arial"/>
          <w:lang w:val="es-MX"/>
        </w:rPr>
        <w:t xml:space="preserve">ro respecto a que se considere que lo procedente sea </w:t>
      </w:r>
      <w:r w:rsidR="00995279" w:rsidRPr="005E1091">
        <w:rPr>
          <w:rFonts w:ascii="Palatino Linotype" w:hAnsi="Palatino Linotype" w:cs="Arial"/>
          <w:b/>
          <w:lang w:val="es-MX"/>
        </w:rPr>
        <w:t xml:space="preserve">sobreseer </w:t>
      </w:r>
      <w:r w:rsidR="00995279" w:rsidRPr="005E1091">
        <w:rPr>
          <w:rFonts w:ascii="Palatino Linotype" w:hAnsi="Palatino Linotype" w:cs="Arial"/>
          <w:lang w:val="es-MX"/>
        </w:rPr>
        <w:t xml:space="preserve">el recurso de revisión; pues si bien es cierto que, </w:t>
      </w:r>
      <w:r w:rsidR="00995279" w:rsidRPr="005E1091">
        <w:rPr>
          <w:rFonts w:ascii="Palatino Linotype" w:hAnsi="Palatino Linotype" w:cs="Arial"/>
          <w:b/>
          <w:lang w:val="es-MX"/>
        </w:rPr>
        <w:t xml:space="preserve">EL SUJETO OBLIGADO </w:t>
      </w:r>
      <w:r w:rsidR="00995279" w:rsidRPr="005E1091">
        <w:rPr>
          <w:rFonts w:ascii="Palatino Linotype" w:hAnsi="Palatino Linotype" w:cs="Arial"/>
          <w:lang w:val="es-MX"/>
        </w:rPr>
        <w:t>mediante Informe Justificado refirió que no contaba con albergues infantiles empero si con Estancias Infantiles y en ellas brindaba las atenciones siguientes:</w:t>
      </w:r>
    </w:p>
    <w:p w:rsidR="005E1091" w:rsidRPr="005E1091" w:rsidRDefault="005E1091" w:rsidP="00CF4234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995279" w:rsidRPr="005E1091" w:rsidRDefault="00995279" w:rsidP="00995279">
      <w:pPr>
        <w:pStyle w:val="Prrafodelista"/>
        <w:numPr>
          <w:ilvl w:val="0"/>
          <w:numId w:val="2"/>
        </w:numPr>
        <w:spacing w:line="360" w:lineRule="auto"/>
        <w:ind w:right="616"/>
        <w:jc w:val="both"/>
        <w:rPr>
          <w:rFonts w:ascii="Palatino Linotype" w:hAnsi="Palatino Linotype" w:cs="Arial"/>
        </w:rPr>
      </w:pPr>
      <w:r w:rsidRPr="005E1091">
        <w:rPr>
          <w:rFonts w:ascii="Palatino Linotype" w:hAnsi="Palatino Linotype" w:cs="Arial"/>
        </w:rPr>
        <w:t xml:space="preserve">Servicio a madres trabajadoras con hijos, de entre 7 meses a 3 años con 11 meses de edad y los cuales cuentan con </w:t>
      </w:r>
      <w:r w:rsidRPr="005E1091">
        <w:rPr>
          <w:rFonts w:ascii="Palatino Linotype" w:hAnsi="Palatino Linotype" w:cs="Arial"/>
          <w:b/>
        </w:rPr>
        <w:t>atención integral</w:t>
      </w:r>
      <w:r w:rsidRPr="005E1091">
        <w:rPr>
          <w:rFonts w:ascii="Palatino Linotype" w:hAnsi="Palatino Linotype" w:cs="Arial"/>
        </w:rPr>
        <w:t xml:space="preserve"> médica y psicopedagógica. </w:t>
      </w:r>
    </w:p>
    <w:p w:rsidR="00995279" w:rsidRPr="005E1091" w:rsidRDefault="00995279" w:rsidP="00995279">
      <w:pPr>
        <w:pStyle w:val="Prrafodelista"/>
        <w:numPr>
          <w:ilvl w:val="0"/>
          <w:numId w:val="2"/>
        </w:numPr>
        <w:spacing w:line="360" w:lineRule="auto"/>
        <w:ind w:right="616"/>
        <w:jc w:val="both"/>
        <w:rPr>
          <w:rFonts w:ascii="Palatino Linotype" w:hAnsi="Palatino Linotype" w:cs="Arial"/>
        </w:rPr>
      </w:pPr>
      <w:r w:rsidRPr="005E1091">
        <w:rPr>
          <w:rFonts w:ascii="Palatino Linotype" w:hAnsi="Palatino Linotype" w:cs="Arial"/>
        </w:rPr>
        <w:t xml:space="preserve">Cada año se realiza una celebración con motivo del Día de Reyes y Día del Niño. </w:t>
      </w:r>
    </w:p>
    <w:p w:rsidR="00995279" w:rsidRPr="005E1091" w:rsidRDefault="00995279" w:rsidP="00995279">
      <w:pPr>
        <w:pStyle w:val="Prrafodelista"/>
        <w:numPr>
          <w:ilvl w:val="0"/>
          <w:numId w:val="2"/>
        </w:numPr>
        <w:spacing w:line="360" w:lineRule="auto"/>
        <w:ind w:right="616"/>
        <w:jc w:val="both"/>
        <w:rPr>
          <w:rFonts w:ascii="Palatino Linotype" w:hAnsi="Palatino Linotype" w:cs="Arial"/>
        </w:rPr>
      </w:pPr>
      <w:r w:rsidRPr="005E1091">
        <w:rPr>
          <w:rFonts w:ascii="Palatino Linotype" w:hAnsi="Palatino Linotype" w:cs="Arial"/>
        </w:rPr>
        <w:t xml:space="preserve">Se brinda </w:t>
      </w:r>
      <w:r w:rsidRPr="005E1091">
        <w:rPr>
          <w:rFonts w:ascii="Palatino Linotype" w:hAnsi="Palatino Linotype" w:cs="Arial"/>
          <w:b/>
        </w:rPr>
        <w:t>atención integral</w:t>
      </w:r>
      <w:r w:rsidRPr="005E1091">
        <w:rPr>
          <w:rFonts w:ascii="Palatino Linotype" w:hAnsi="Palatino Linotype" w:cs="Arial"/>
        </w:rPr>
        <w:t xml:space="preserve"> (psicológica, jurídico, trabajo social y médico) por parte del área de Centro de Prevención y Atención al Maltrato y la Familia (</w:t>
      </w:r>
      <w:proofErr w:type="spellStart"/>
      <w:r w:rsidRPr="005E1091">
        <w:rPr>
          <w:rFonts w:ascii="Palatino Linotype" w:hAnsi="Palatino Linotype" w:cs="Arial"/>
        </w:rPr>
        <w:t>CEPAMyF</w:t>
      </w:r>
      <w:proofErr w:type="spellEnd"/>
      <w:r w:rsidRPr="005E1091">
        <w:rPr>
          <w:rFonts w:ascii="Palatino Linotype" w:hAnsi="Palatino Linotype" w:cs="Arial"/>
        </w:rPr>
        <w:t xml:space="preserve">) para aprobar o descartar reportes de probable maltrato a niños, niñas y adolescentes y/o estado de vulnerabilidad. </w:t>
      </w:r>
    </w:p>
    <w:p w:rsidR="00995279" w:rsidRDefault="005E1091" w:rsidP="005E1091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cierto es que, aun cuando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>se pronunció respecto de la solicitud d</w:t>
      </w:r>
      <w:r w:rsidR="00930589">
        <w:rPr>
          <w:rFonts w:ascii="Palatino Linotype" w:hAnsi="Palatino Linotype" w:cs="Arial"/>
        </w:rPr>
        <w:t>e información, estimo que</w:t>
      </w:r>
      <w:r>
        <w:rPr>
          <w:rFonts w:ascii="Palatino Linotype" w:hAnsi="Palatino Linotype" w:cs="Arial"/>
        </w:rPr>
        <w:t xml:space="preserve"> con dicho Informe Justificado no se colmó </w:t>
      </w:r>
      <w:r w:rsidR="00930589">
        <w:rPr>
          <w:rFonts w:ascii="Palatino Linotype" w:hAnsi="Palatino Linotype" w:cs="Arial"/>
        </w:rPr>
        <w:t xml:space="preserve">en su </w:t>
      </w:r>
      <w:r w:rsidR="00930589">
        <w:rPr>
          <w:rFonts w:ascii="Palatino Linotype" w:hAnsi="Palatino Linotype" w:cs="Arial"/>
        </w:rPr>
        <w:lastRenderedPageBreak/>
        <w:t xml:space="preserve">totalidad </w:t>
      </w:r>
      <w:r>
        <w:rPr>
          <w:rFonts w:ascii="Palatino Linotype" w:hAnsi="Palatino Linotype" w:cs="Arial"/>
        </w:rPr>
        <w:t xml:space="preserve">el derecho de acceso a la información pública de la solicitante, toda vez que, en la solicitud de información se requirió además conocer las atenciones que se brindaba a los menores en cuanto a su alimentación y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>omitió pronunciarse al respecto</w:t>
      </w:r>
      <w:r w:rsidR="00930589">
        <w:rPr>
          <w:rFonts w:ascii="Palatino Linotype" w:hAnsi="Palatino Linotype" w:cs="Arial"/>
        </w:rPr>
        <w:t>.</w:t>
      </w:r>
    </w:p>
    <w:p w:rsidR="006C308E" w:rsidRDefault="006C308E" w:rsidP="006C308E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Por lo que, la suscrita considera que la Ponencia Resolutora debió</w:t>
      </w:r>
      <w:r w:rsidRPr="009F03BA">
        <w:rPr>
          <w:rFonts w:ascii="Palatino Linotype" w:hAnsi="Palatino Linotype" w:cs="Arial"/>
        </w:rPr>
        <w:t xml:space="preserve"> en</w:t>
      </w:r>
      <w:r>
        <w:rPr>
          <w:rFonts w:ascii="Palatino Linotype" w:hAnsi="Palatino Linotype" w:cs="Arial"/>
        </w:rPr>
        <w:t xml:space="preserve"> cumplimiento a los principios que rigen el actuar de este Órgano Garante establecidos en los artícu</w:t>
      </w:r>
      <w:r w:rsidRPr="009C5FF5">
        <w:rPr>
          <w:rFonts w:ascii="Palatino Linotype" w:hAnsi="Palatino Linotype" w:cs="Arial"/>
        </w:rPr>
        <w:t>los</w:t>
      </w:r>
      <w:r>
        <w:rPr>
          <w:rFonts w:ascii="Palatino Linotype" w:hAnsi="Palatino Linotype" w:cs="Arial"/>
        </w:rPr>
        <w:t xml:space="preserve"> 4 y 9, fracciones I, VII y VIII </w:t>
      </w:r>
      <w:r w:rsidRPr="009C5FF5">
        <w:rPr>
          <w:rFonts w:ascii="Palatino Linotype" w:hAnsi="Palatino Linotype" w:cs="Arial"/>
        </w:rPr>
        <w:t>de la Ley de Transpar</w:t>
      </w:r>
      <w:r>
        <w:rPr>
          <w:rFonts w:ascii="Palatino Linotype" w:hAnsi="Palatino Linotype" w:cs="Arial"/>
        </w:rPr>
        <w:t>encia y Acceso</w:t>
      </w:r>
      <w:r w:rsidRPr="009C5FF5">
        <w:rPr>
          <w:rFonts w:ascii="Palatino Linotype" w:hAnsi="Palatino Linotype" w:cs="Arial"/>
        </w:rPr>
        <w:t xml:space="preserve"> a la Información Pú</w:t>
      </w:r>
      <w:r>
        <w:rPr>
          <w:rFonts w:ascii="Palatino Linotype" w:hAnsi="Palatino Linotype" w:cs="Arial"/>
        </w:rPr>
        <w:t>b</w:t>
      </w:r>
      <w:r w:rsidRPr="009C5FF5">
        <w:rPr>
          <w:rFonts w:ascii="Palatino Linotype" w:hAnsi="Palatino Linotype" w:cs="Arial"/>
        </w:rPr>
        <w:t>lica del Estado de México y</w:t>
      </w:r>
      <w:r>
        <w:rPr>
          <w:rFonts w:ascii="Palatino Linotype" w:hAnsi="Palatino Linotype" w:cs="Arial"/>
        </w:rPr>
        <w:t xml:space="preserve"> </w:t>
      </w:r>
      <w:r w:rsidRPr="009C5FF5">
        <w:rPr>
          <w:rFonts w:ascii="Palatino Linotype" w:hAnsi="Palatino Linotype" w:cs="Arial"/>
        </w:rPr>
        <w:t xml:space="preserve">Municipios, </w:t>
      </w:r>
      <w:r>
        <w:rPr>
          <w:rFonts w:ascii="Palatino Linotype" w:hAnsi="Palatino Linotype" w:cs="Arial"/>
        </w:rPr>
        <w:t xml:space="preserve">ordenar la entrega de la información considerada faltante, a fin de colmar el derecho de acceso a la información de la hoy </w:t>
      </w:r>
      <w:r>
        <w:rPr>
          <w:rFonts w:ascii="Palatino Linotype" w:hAnsi="Palatino Linotype" w:cs="Arial"/>
          <w:b/>
        </w:rPr>
        <w:t xml:space="preserve">RECURRENTE, </w:t>
      </w:r>
      <w:r>
        <w:rPr>
          <w:rFonts w:ascii="Palatino Linotype" w:hAnsi="Palatino Linotype" w:cs="Arial"/>
        </w:rPr>
        <w:t xml:space="preserve">dando cumplimiento a </w:t>
      </w:r>
      <w:r w:rsidRPr="009C5FF5">
        <w:rPr>
          <w:rFonts w:ascii="Palatino Linotype" w:hAnsi="Palatino Linotype" w:cs="Arial"/>
        </w:rPr>
        <w:t xml:space="preserve">los principios de </w:t>
      </w:r>
      <w:r>
        <w:rPr>
          <w:rFonts w:ascii="Palatino Linotype" w:hAnsi="Palatino Linotype" w:cs="Arial"/>
        </w:rPr>
        <w:t xml:space="preserve">certeza jurídica, </w:t>
      </w:r>
      <w:r w:rsidRPr="009C5FF5">
        <w:rPr>
          <w:rFonts w:ascii="Palatino Linotype" w:hAnsi="Palatino Linotype" w:cs="Arial"/>
        </w:rPr>
        <w:t>máxima publicidad</w:t>
      </w:r>
      <w:r>
        <w:rPr>
          <w:rFonts w:ascii="Palatino Linotype" w:hAnsi="Palatino Linotype" w:cs="Arial"/>
        </w:rPr>
        <w:t xml:space="preserve"> </w:t>
      </w:r>
      <w:r w:rsidRPr="009C5FF5">
        <w:rPr>
          <w:rFonts w:ascii="Palatino Linotype" w:hAnsi="Palatino Linotype" w:cs="Arial"/>
        </w:rPr>
        <w:t xml:space="preserve">y </w:t>
      </w:r>
      <w:r>
        <w:rPr>
          <w:rFonts w:ascii="Palatino Linotype" w:hAnsi="Palatino Linotype" w:cs="Arial"/>
        </w:rPr>
        <w:t>objetividad que se trascriben a continuación:</w:t>
      </w:r>
    </w:p>
    <w:p w:rsidR="006C308E" w:rsidRDefault="006C308E" w:rsidP="006C308E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</w:rPr>
      </w:pPr>
    </w:p>
    <w:p w:rsidR="006C308E" w:rsidRPr="00444E6E" w:rsidRDefault="006C308E" w:rsidP="006C308E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 w:rsidRPr="00444E6E">
        <w:rPr>
          <w:rFonts w:ascii="Palatino Linotype" w:hAnsi="Palatino Linotype" w:cs="Arial"/>
          <w:b/>
          <w:bCs/>
          <w:i/>
          <w:sz w:val="22"/>
        </w:rPr>
        <w:t>Artículo 4.</w:t>
      </w:r>
      <w:r w:rsidRPr="00444E6E">
        <w:rPr>
          <w:rFonts w:ascii="Palatino Linotype" w:hAnsi="Palatino Linotype" w:cs="Arial"/>
          <w:bCs/>
          <w:i/>
          <w:sz w:val="22"/>
        </w:rPr>
        <w:t xml:space="preserve"> </w:t>
      </w:r>
      <w:r w:rsidRPr="009C5FF5">
        <w:rPr>
          <w:rFonts w:ascii="Palatino Linotype" w:hAnsi="Palatino Linotype" w:cs="Arial"/>
          <w:bCs/>
          <w:i/>
          <w:sz w:val="22"/>
        </w:rPr>
        <w:t>El derecho humano de acceso a la información pública es la prerrogativa de las personas para buscar, difundir, investigar, recabar, recibir y solicitar información pública</w:t>
      </w:r>
      <w:r w:rsidRPr="00444E6E">
        <w:rPr>
          <w:rFonts w:ascii="Palatino Linotype" w:hAnsi="Palatino Linotype" w:cs="Arial"/>
          <w:bCs/>
          <w:i/>
          <w:sz w:val="22"/>
        </w:rPr>
        <w:t xml:space="preserve">, sin necesidad de acreditar personalidad ni interés jurídico. </w:t>
      </w:r>
    </w:p>
    <w:p w:rsidR="006C308E" w:rsidRDefault="006C308E" w:rsidP="006C308E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 w:rsidRPr="00AE1F11">
        <w:rPr>
          <w:rFonts w:ascii="Palatino Linotype" w:hAnsi="Palatino Linotype" w:cs="Arial"/>
          <w:b/>
          <w:bCs/>
          <w:i/>
          <w:sz w:val="22"/>
        </w:rPr>
        <w:t>Toda la información generada, obtenida, adquirida, transformada, administrada o en posesión de los sujetos obligados es pública y accesible de manera permanente a cualquier persona</w:t>
      </w:r>
      <w:r w:rsidRPr="00AE1F11">
        <w:rPr>
          <w:rFonts w:ascii="Palatino Linotype" w:hAnsi="Palatino Linotype" w:cs="Arial"/>
          <w:bCs/>
          <w:i/>
          <w:sz w:val="22"/>
        </w:rPr>
        <w:t>,</w:t>
      </w:r>
      <w:r w:rsidRPr="00444E6E">
        <w:rPr>
          <w:rFonts w:ascii="Palatino Linotype" w:hAnsi="Palatino Linotype" w:cs="Arial"/>
          <w:bCs/>
          <w:i/>
          <w:sz w:val="22"/>
        </w:rPr>
        <w:t xml:space="preserve"> en los términos y condiciones que se establezcan en los tratados internacionales de los que el Estado mexicano sea parte, en la Ley General, la presente Ley y demás disposiciones de la materia, </w:t>
      </w:r>
      <w:r w:rsidRPr="00AE1F11">
        <w:rPr>
          <w:rFonts w:ascii="Palatino Linotype" w:hAnsi="Palatino Linotype" w:cs="Arial"/>
          <w:b/>
          <w:bCs/>
          <w:i/>
          <w:sz w:val="22"/>
        </w:rPr>
        <w:t>privilegiando el principio de máxima publicidad</w:t>
      </w:r>
      <w:r w:rsidRPr="00AE1F11">
        <w:rPr>
          <w:rFonts w:ascii="Palatino Linotype" w:hAnsi="Palatino Linotype" w:cs="Arial"/>
          <w:bCs/>
          <w:i/>
          <w:sz w:val="22"/>
        </w:rPr>
        <w:t xml:space="preserve"> </w:t>
      </w:r>
      <w:r w:rsidRPr="00444E6E">
        <w:rPr>
          <w:rFonts w:ascii="Palatino Linotype" w:hAnsi="Palatino Linotype" w:cs="Arial"/>
          <w:bCs/>
          <w:i/>
          <w:sz w:val="22"/>
        </w:rPr>
        <w:t xml:space="preserve">de la </w:t>
      </w:r>
      <w:r w:rsidRPr="00444E6E">
        <w:rPr>
          <w:rFonts w:ascii="Palatino Linotype" w:hAnsi="Palatino Linotype" w:cs="Arial"/>
          <w:i/>
          <w:color w:val="000000"/>
          <w:sz w:val="22"/>
        </w:rPr>
        <w:t>información</w:t>
      </w:r>
      <w:r w:rsidRPr="00444E6E">
        <w:rPr>
          <w:rFonts w:ascii="Palatino Linotype" w:hAnsi="Palatino Linotype" w:cs="Arial"/>
          <w:bCs/>
          <w:i/>
          <w:sz w:val="22"/>
        </w:rPr>
        <w:t xml:space="preserve">. Solo podrá ser clasificada excepcionalmente como reservada temporalmente por razones de interés público, en los términos de las causas legítimas y estrictamente necesarias previstas por esta Ley. </w:t>
      </w:r>
    </w:p>
    <w:p w:rsidR="006C308E" w:rsidRDefault="006C308E" w:rsidP="006C308E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 w:rsidRPr="00444E6E">
        <w:rPr>
          <w:rFonts w:ascii="Palatino Linotype" w:hAnsi="Palatino Linotype" w:cs="Arial"/>
          <w:bCs/>
          <w:i/>
          <w:sz w:val="22"/>
        </w:rPr>
        <w:t xml:space="preserve">Los sujetos obligados deben poner en práctica, políticas y programas de acceso a la información que se apeguen a criterios de publicidad, veracidad, oportunidad, precisión y suficiencia en beneficio de los solicitantes. </w:t>
      </w:r>
    </w:p>
    <w:p w:rsidR="006C308E" w:rsidRPr="00AE1F11" w:rsidRDefault="006C308E" w:rsidP="006C308E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27180A">
        <w:rPr>
          <w:rFonts w:ascii="Palatino Linotype" w:hAnsi="Palatino Linotype" w:cs="Arial"/>
          <w:b/>
          <w:bCs/>
          <w:i/>
          <w:sz w:val="22"/>
        </w:rPr>
        <w:t xml:space="preserve">Artículo 9. </w:t>
      </w:r>
      <w:r w:rsidRPr="00AE1F11">
        <w:rPr>
          <w:rFonts w:ascii="Palatino Linotype" w:hAnsi="Palatino Linotype" w:cs="Arial"/>
          <w:b/>
          <w:bCs/>
          <w:i/>
          <w:sz w:val="22"/>
        </w:rPr>
        <w:t>El Instituto deberá regir su funcionamiento de acuerdo a los siguientes principios:</w:t>
      </w:r>
    </w:p>
    <w:p w:rsidR="006C308E" w:rsidRDefault="006C308E" w:rsidP="006C308E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lastRenderedPageBreak/>
        <w:t>I. Certeza:</w:t>
      </w:r>
      <w:r w:rsidRPr="006807DD">
        <w:rPr>
          <w:rFonts w:ascii="Palatino Linotype" w:hAnsi="Palatino Linotype" w:cs="Arial"/>
          <w:bCs/>
          <w:i/>
          <w:sz w:val="22"/>
        </w:rPr>
        <w:t xml:space="preserve"> </w:t>
      </w:r>
      <w:r w:rsidRPr="006807DD">
        <w:rPr>
          <w:rFonts w:ascii="Palatino Linotype" w:hAnsi="Palatino Linotype" w:cs="Arial"/>
          <w:b/>
          <w:bCs/>
          <w:i/>
          <w:sz w:val="22"/>
        </w:rPr>
        <w:t xml:space="preserve">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6C308E" w:rsidRPr="006807DD" w:rsidRDefault="006C308E" w:rsidP="006C308E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>
        <w:rPr>
          <w:rFonts w:ascii="Palatino Linotype" w:hAnsi="Palatino Linotype" w:cs="Arial"/>
          <w:b/>
          <w:bCs/>
          <w:i/>
          <w:sz w:val="22"/>
        </w:rPr>
        <w:t>…</w:t>
      </w:r>
    </w:p>
    <w:p w:rsidR="006C308E" w:rsidRDefault="006C308E" w:rsidP="006C308E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 xml:space="preserve">VII. Máxima Publicidad: Toda la información en posesión de los sujetos obligados será pública, completa, oportuna y accesible, sujeta a un claro régimen de excepciones que deberán estar definidas y ser además legítimas y estrictamente necesarias en una sociedad democrática; </w:t>
      </w:r>
    </w:p>
    <w:p w:rsidR="006C308E" w:rsidRPr="006807DD" w:rsidRDefault="006C308E" w:rsidP="006C308E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 xml:space="preserve">VIII. Objetividad: Obligación del Instituto de ajustar su actuación a los presupuestos de ley que deben ser aplicados al analizar el caso en concreto y resolver todos los hechos, prescindiendo de las consideraciones y criterios personales; </w:t>
      </w:r>
    </w:p>
    <w:p w:rsidR="006C308E" w:rsidRPr="00444E6E" w:rsidRDefault="006C308E" w:rsidP="006C308E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…</w:t>
      </w:r>
    </w:p>
    <w:p w:rsidR="006C308E" w:rsidRPr="00444E6E" w:rsidRDefault="006C308E" w:rsidP="006C308E">
      <w:pPr>
        <w:ind w:left="709" w:right="1038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(Énfasis añadido)</w:t>
      </w:r>
    </w:p>
    <w:p w:rsidR="006C308E" w:rsidRDefault="006C308E" w:rsidP="006C308E">
      <w:pPr>
        <w:spacing w:line="360" w:lineRule="auto"/>
        <w:jc w:val="both"/>
        <w:rPr>
          <w:rFonts w:ascii="Palatino Linotype" w:hAnsi="Palatino Linotype"/>
        </w:rPr>
      </w:pPr>
    </w:p>
    <w:p w:rsidR="006C308E" w:rsidRDefault="006C308E" w:rsidP="006C308E">
      <w:pPr>
        <w:spacing w:line="360" w:lineRule="auto"/>
        <w:jc w:val="both"/>
        <w:rPr>
          <w:rFonts w:ascii="Palatino Linotype" w:hAnsi="Palatino Linotype"/>
          <w:lang w:eastAsia="es-MX"/>
        </w:rPr>
      </w:pPr>
      <w:r>
        <w:rPr>
          <w:rFonts w:ascii="Palatino Linotype" w:hAnsi="Palatino Linotype"/>
        </w:rPr>
        <w:t xml:space="preserve">A fin de robustecer lo anterior, conviene citar </w:t>
      </w:r>
      <w:r>
        <w:rPr>
          <w:rFonts w:ascii="Palatino Linotype" w:hAnsi="Palatino Linotype" w:cs="Segoe UI"/>
        </w:rPr>
        <w:t xml:space="preserve">el criterio orientador </w:t>
      </w:r>
      <w:r>
        <w:rPr>
          <w:rFonts w:ascii="Palatino Linotype" w:hAnsi="Palatino Linotype"/>
          <w:lang w:eastAsia="es-MX"/>
        </w:rPr>
        <w:t>002/2017</w:t>
      </w:r>
      <w:r w:rsidRPr="0090521E">
        <w:rPr>
          <w:rFonts w:ascii="Palatino Linotype" w:hAnsi="Palatino Linotype"/>
          <w:lang w:eastAsia="es-MX"/>
        </w:rPr>
        <w:t xml:space="preserve"> del</w:t>
      </w:r>
      <w:r>
        <w:rPr>
          <w:rFonts w:ascii="Palatino Linotype" w:hAnsi="Palatino Linotype"/>
          <w:lang w:eastAsia="es-MX"/>
        </w:rPr>
        <w:t xml:space="preserve"> </w:t>
      </w:r>
      <w:r w:rsidRPr="0090521E">
        <w:rPr>
          <w:rFonts w:ascii="Palatino Linotype" w:hAnsi="Palatino Linotype"/>
          <w:lang w:eastAsia="es-MX"/>
        </w:rPr>
        <w:t>Instituto Nacional de Acceso a la Información y Protección de Datos (INAI)</w:t>
      </w:r>
      <w:r>
        <w:rPr>
          <w:rFonts w:ascii="Palatino Linotype" w:hAnsi="Palatino Linotype"/>
          <w:lang w:eastAsia="es-MX"/>
        </w:rPr>
        <w:t>, que señala lo siguiente:</w:t>
      </w:r>
    </w:p>
    <w:p w:rsidR="006C308E" w:rsidRDefault="006C308E" w:rsidP="006C308E">
      <w:pPr>
        <w:spacing w:line="360" w:lineRule="auto"/>
        <w:jc w:val="both"/>
        <w:rPr>
          <w:rFonts w:ascii="Palatino Linotype" w:hAnsi="Palatino Linotype"/>
          <w:lang w:eastAsia="es-MX"/>
        </w:rPr>
      </w:pPr>
    </w:p>
    <w:p w:rsidR="006C308E" w:rsidRPr="00D621C2" w:rsidRDefault="006C308E" w:rsidP="006C308E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“Congruencia y exhaustividad.</w:t>
      </w:r>
      <w:r w:rsidRPr="006807DD"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  <w:sz w:val="22"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  <w:sz w:val="22"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:rsidR="006C308E" w:rsidRDefault="006C308E" w:rsidP="006C308E">
      <w:pPr>
        <w:ind w:left="709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Cs/>
          <w:i/>
          <w:sz w:val="22"/>
        </w:rPr>
        <w:lastRenderedPageBreak/>
        <w:t xml:space="preserve">Resoluciones: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  <w:sz w:val="22"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  <w:sz w:val="22"/>
        </w:rPr>
        <w:t>.”</w:t>
      </w:r>
    </w:p>
    <w:p w:rsidR="006C308E" w:rsidRDefault="006C308E" w:rsidP="00CF4234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6C308E" w:rsidRDefault="006C308E" w:rsidP="006C308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val="es-MX"/>
        </w:rPr>
        <w:t xml:space="preserve">En ese contexto, la suscrita emite </w:t>
      </w:r>
      <w:r w:rsidRPr="005E109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pues se reitera que el Informe Justificado remitido por </w:t>
      </w:r>
      <w:r w:rsidRPr="005E1091">
        <w:rPr>
          <w:rFonts w:ascii="Palatino Linotype" w:hAnsi="Palatino Linotype" w:cs="Arial"/>
          <w:b/>
          <w:lang w:val="es-MX"/>
        </w:rPr>
        <w:t>EL SUJETO OBLIGADO</w:t>
      </w:r>
      <w:r>
        <w:rPr>
          <w:rFonts w:ascii="Palatino Linotype" w:hAnsi="Palatino Linotype" w:cs="Arial"/>
          <w:b/>
          <w:lang w:val="es-MX"/>
        </w:rPr>
        <w:t xml:space="preserve"> </w:t>
      </w:r>
      <w:r>
        <w:rPr>
          <w:rFonts w:ascii="Palatino Linotype" w:hAnsi="Palatino Linotype" w:cs="Arial"/>
          <w:lang w:val="es-MX"/>
        </w:rPr>
        <w:t xml:space="preserve">no colmó </w:t>
      </w:r>
      <w:r w:rsidR="00930589">
        <w:rPr>
          <w:rFonts w:ascii="Palatino Linotype" w:hAnsi="Palatino Linotype" w:cs="Arial"/>
          <w:lang w:val="es-MX"/>
        </w:rPr>
        <w:t xml:space="preserve">totalmente </w:t>
      </w:r>
      <w:r>
        <w:rPr>
          <w:rFonts w:ascii="Palatino Linotype" w:hAnsi="Palatino Linotype" w:cs="Arial"/>
          <w:lang w:val="es-MX"/>
        </w:rPr>
        <w:t xml:space="preserve">el derecho de acceso a la información de la hoy </w:t>
      </w:r>
      <w:r>
        <w:rPr>
          <w:rFonts w:ascii="Palatino Linotype" w:hAnsi="Palatino Linotype" w:cs="Arial"/>
          <w:b/>
          <w:lang w:val="es-MX"/>
        </w:rPr>
        <w:t xml:space="preserve">RECURRENTE </w:t>
      </w:r>
      <w:r>
        <w:rPr>
          <w:rFonts w:ascii="Palatino Linotype" w:hAnsi="Palatino Linotype" w:cs="Arial"/>
          <w:lang w:val="es-MX"/>
        </w:rPr>
        <w:t xml:space="preserve">ya que, fue omiso en pronunciarse en relación a la atención brindada a los niños respecto a la alimentación; por lo que, </w:t>
      </w:r>
      <w:r>
        <w:rPr>
          <w:rFonts w:ascii="Palatino Linotype" w:hAnsi="Palatino Linotype" w:cs="Arial"/>
        </w:rPr>
        <w:t>a fin de emitir una resolución congruente con las constancias que obran en el expediente electrónico del SAIMEX, lo procedente era que se ordenara la entrega de la in</w:t>
      </w:r>
      <w:r w:rsidR="00930589">
        <w:rPr>
          <w:rFonts w:ascii="Palatino Linotype" w:hAnsi="Palatino Linotype" w:cs="Arial"/>
        </w:rPr>
        <w:t xml:space="preserve">formación considerada faltante; </w:t>
      </w:r>
      <w:r>
        <w:rPr>
          <w:rFonts w:ascii="Palatino Linotype" w:hAnsi="Palatino Linotype" w:cs="Arial"/>
        </w:rPr>
        <w:t>ello</w:t>
      </w:r>
      <w:r w:rsidR="0093058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cumpliendo con los principios de certeza, máxima publicidad y objetividad, a los que ya se ha hecho referencia.</w:t>
      </w:r>
    </w:p>
    <w:tbl>
      <w:tblPr>
        <w:tblW w:w="4395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</w:tblGrid>
      <w:tr w:rsidR="00CF4234" w:rsidRPr="005E1091" w:rsidTr="004D0FA6">
        <w:trPr>
          <w:jc w:val="center"/>
        </w:trPr>
        <w:tc>
          <w:tcPr>
            <w:tcW w:w="4395" w:type="dxa"/>
          </w:tcPr>
          <w:p w:rsidR="00C31E86" w:rsidRDefault="00C31E86" w:rsidP="004D0FA6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31E86" w:rsidRDefault="00C31E86" w:rsidP="004D0FA6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F4234" w:rsidRPr="005E1091" w:rsidRDefault="00CF4234" w:rsidP="004D0FA6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5E1091">
              <w:rPr>
                <w:rFonts w:ascii="Palatino Linotype" w:hAnsi="Palatino Linotype"/>
                <w:b/>
              </w:rPr>
              <w:t xml:space="preserve">EVA ABAID YAPUR </w:t>
            </w:r>
          </w:p>
          <w:p w:rsidR="00CF4234" w:rsidRDefault="00CF4234" w:rsidP="00C31E86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5E1091">
              <w:rPr>
                <w:rFonts w:ascii="Palatino Linotype" w:hAnsi="Palatino Linotype"/>
                <w:b/>
              </w:rPr>
              <w:t>COMISIONADA</w:t>
            </w:r>
          </w:p>
          <w:p w:rsidR="00AD1CF7" w:rsidRPr="005E1091" w:rsidRDefault="00AD1CF7" w:rsidP="00C31E86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CF4234" w:rsidRDefault="00CF4234" w:rsidP="00CF4234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AD1CF7" w:rsidRDefault="00AD1CF7" w:rsidP="00CF4234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AD1CF7" w:rsidRDefault="00AD1CF7" w:rsidP="00CF4234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AD1CF7" w:rsidRDefault="00AD1CF7" w:rsidP="00CF4234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AD1CF7" w:rsidRDefault="00AD1CF7" w:rsidP="00CF4234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CF4234" w:rsidRDefault="00CF4234" w:rsidP="00CF4234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  <w:r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494EC6"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</w:t>
      </w:r>
      <w:r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l recurso de revisión 0</w:t>
      </w:r>
      <w:r w:rsidR="00494EC6"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4618</w:t>
      </w:r>
      <w:r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494EC6"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, aprobado el </w:t>
      </w:r>
      <w:r w:rsidR="00494EC6"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veinte de febrero de </w:t>
      </w:r>
      <w:r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 mil dieci</w:t>
      </w:r>
      <w:r w:rsidR="00494EC6"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:rsidR="00C31E86" w:rsidRPr="00C31E86" w:rsidRDefault="00C31E86" w:rsidP="00CF4234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F4234" w:rsidRPr="00930589" w:rsidRDefault="00CF4234" w:rsidP="00CF4234">
      <w:pPr>
        <w:jc w:val="both"/>
        <w:rPr>
          <w:rFonts w:ascii="Palatino Linotype" w:eastAsia="Calibri" w:hAnsi="Palatino Linotype"/>
          <w:sz w:val="18"/>
          <w:szCs w:val="18"/>
        </w:rPr>
      </w:pPr>
      <w:r w:rsidRPr="00C31E86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YSM/AMV</w:t>
      </w:r>
    </w:p>
    <w:sectPr w:rsidR="00CF4234" w:rsidRPr="00930589" w:rsidSect="0085216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325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2F" w:rsidRDefault="00DA1A2F" w:rsidP="00CF4234">
      <w:r>
        <w:separator/>
      </w:r>
    </w:p>
  </w:endnote>
  <w:endnote w:type="continuationSeparator" w:id="0">
    <w:p w:rsidR="00DA1A2F" w:rsidRDefault="00DA1A2F" w:rsidP="00CF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29" w:rsidRDefault="00AD1CF7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B87529" w:rsidRDefault="00AD1CF7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B87529" w:rsidRDefault="00AD1CF7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B87529" w:rsidRDefault="00AD1CF7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B87529" w:rsidRDefault="00AD1CF7" w:rsidP="00B87529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457AB9" w:rsidRPr="00B87529" w:rsidRDefault="00AB26FF" w:rsidP="00B87529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D1CF7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D1CF7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CB534A" w:rsidRDefault="00AD1CF7" w:rsidP="005324B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2F" w:rsidRDefault="00DA1A2F" w:rsidP="00CF4234">
      <w:r>
        <w:separator/>
      </w:r>
    </w:p>
  </w:footnote>
  <w:footnote w:type="continuationSeparator" w:id="0">
    <w:p w:rsidR="00DA1A2F" w:rsidRDefault="00DA1A2F" w:rsidP="00CF4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4A" w:rsidRDefault="00AD1CF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485" o:spid="_x0000_s2050" type="#_x0000_t136" style="position:absolute;margin-left:0;margin-top:0;width:568.35pt;height:81.1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VOTO DISIDENTE"/>
          <w10:wrap anchorx="margin" anchory="margin"/>
        </v:shape>
      </w:pict>
    </w:r>
    <w:r w:rsidR="00AB26F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EF6CFA7" wp14:editId="2D8904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70520" cy="95631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70520" cy="956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34A" w:rsidRDefault="00AB26FF" w:rsidP="0026525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FFAFAB"/>
                              <w:sz w:val="2"/>
                              <w:szCs w:val="2"/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6CFA7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7.6pt;height:75.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qugwIAAPs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NKVE&#10;sQ4lesCJXhhHUj+cXtsCc+41ZrnhEgYUOTRq9S1U3y1RcNUwtRMXxkDfCMaRXIJQUzi0sDlqxA3R&#10;jRjcDZeoQ+Lho1f4YzHrK237T8DxFbZ3EKoNtemIAf/aMo/9L4RxfgQZobDHZzGxAKkweJqfxvMU&#10;jyo8y+eLD0lQO2KFB/NaaWPdRwEd8ZuSGjRLQGWHW+s8uZcUn47AGJ92o7iPeZJm8WWaz9aL5eks&#10;W2fzGZZdzuIkv8wXcZZn1+ufHjTJikZyLtStVOLJaEn2d0JOlh8tEqxGet9TOg98LbSSr2Xbem7W&#10;7LZXrSEH5h0/jmrs5U2agb3iGGeF1+xm2jsm23EfvWUchoEDePoPgwjieb1G5dywHRDRK7oFfkQZ&#10;e7xXJbU/9swItMS+uwIkhT6oDXSTzfyzp+E12AwPzOhJDofl7tqnexU08Xk7PtmU8W8I1LV4XbFX&#10;Mg+mGDudkif9RtQwG32BhlrLIO4Lz8mGeMNCe9PXwF/h188h6+WbtfoFAAD//wMAUEsDBBQABgAI&#10;AAAAIQAHyK442wAAAAYBAAAPAAAAZHJzL2Rvd25yZXYueG1sTI9BT8MwDIXvSPyHyEjcWEpRJ1Sa&#10;ToiKw47bEOes8dpuiVOadO349Xhc4GI961nvfS5Ws7PijEPoPCl4XCQgkGpvOmoUfOzeH55BhKjJ&#10;aOsJFVwwwKq8vSl0bvxEGzxvYyM4hEKuFbQx9rmUoW7R6bDwPRJ7Bz84HXkdGmkGPXG4szJNkqV0&#10;uiNuaHWPby3Wp+3oFJjvw6V/mqbder2pxi/bVRV+HpW6v5tfX0BEnOPfMVzxGR1KZtr7kUwQVgE/&#10;En/n1UuzLAWxZ5UlS5BlIf/jlz8AAAD//wMAUEsBAi0AFAAGAAgAAAAhALaDOJL+AAAA4QEAABMA&#10;AAAAAAAAAAAAAAAAAAAAAFtDb250ZW50X1R5cGVzXS54bWxQSwECLQAUAAYACAAAACEAOP0h/9YA&#10;AACUAQAACwAAAAAAAAAAAAAAAAAvAQAAX3JlbHMvLnJlbHNQSwECLQAUAAYACAAAACEA5qLKroMC&#10;AAD7BAAADgAAAAAAAAAAAAAAAAAuAgAAZHJzL2Uyb0RvYy54bWxQSwECLQAUAAYACAAAACEAB8iu&#10;ONsAAAAGAQAADwAAAAAAAAAAAAAAAADd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CB534A" w:rsidRDefault="00AB26FF" w:rsidP="0026525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FFAFAB"/>
                        <w:sz w:val="2"/>
                        <w:szCs w:val="2"/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4A" w:rsidRDefault="00AB26FF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C8ACD3E" wp14:editId="73F0C55F">
          <wp:simplePos x="0" y="0"/>
          <wp:positionH relativeFrom="margin">
            <wp:posOffset>-744220</wp:posOffset>
          </wp:positionH>
          <wp:positionV relativeFrom="paragraph">
            <wp:posOffset>-388620</wp:posOffset>
          </wp:positionV>
          <wp:extent cx="7604125" cy="99034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  <w:p w:rsidR="00852166" w:rsidRDefault="00AD1CF7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CB534A" w:rsidRDefault="00AB26FF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VOTO PARTICULAR</w:t>
    </w:r>
  </w:p>
  <w:p w:rsidR="00CB534A" w:rsidRDefault="00AB26FF" w:rsidP="0085216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="00CF4234">
      <w:rPr>
        <w:rFonts w:ascii="Palatino Linotype" w:hAnsi="Palatino Linotype" w:cs="Arial"/>
        <w:sz w:val="20"/>
        <w:szCs w:val="20"/>
      </w:rPr>
      <w:t>04618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CF4234">
      <w:rPr>
        <w:rFonts w:ascii="Palatino Linotype" w:hAnsi="Palatino Linotype" w:cs="Arial"/>
        <w:sz w:val="20"/>
        <w:szCs w:val="20"/>
      </w:rPr>
      <w:t>8</w:t>
    </w:r>
  </w:p>
  <w:p w:rsidR="00457AB9" w:rsidRDefault="00AD1CF7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457AB9" w:rsidRDefault="00AD1CF7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486" o:spid="_x0000_s2051" type="#_x0000_t136" style="position:absolute;left:0;text-align:left;margin-left:0;margin-top:0;width:613.95pt;height:93.3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4A" w:rsidRDefault="00AD1CF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7484" o:spid="_x0000_s2049" type="#_x0000_t136" style="position:absolute;margin-left:0;margin-top:0;width:568.35pt;height:81.1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VOTO DISID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1A9E"/>
    <w:multiLevelType w:val="hybridMultilevel"/>
    <w:tmpl w:val="99CCB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17490"/>
    <w:multiLevelType w:val="hybridMultilevel"/>
    <w:tmpl w:val="A566DA98"/>
    <w:lvl w:ilvl="0" w:tplc="269A616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000000" w:themeColor="text1"/>
        <w:sz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93AF9"/>
    <w:multiLevelType w:val="hybridMultilevel"/>
    <w:tmpl w:val="6842411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34"/>
    <w:rsid w:val="00494EC6"/>
    <w:rsid w:val="005E1091"/>
    <w:rsid w:val="006C308E"/>
    <w:rsid w:val="0088410D"/>
    <w:rsid w:val="00930589"/>
    <w:rsid w:val="00995279"/>
    <w:rsid w:val="00A450B8"/>
    <w:rsid w:val="00AB26FF"/>
    <w:rsid w:val="00AD1CF7"/>
    <w:rsid w:val="00C23B43"/>
    <w:rsid w:val="00C31E86"/>
    <w:rsid w:val="00C9714C"/>
    <w:rsid w:val="00CF4234"/>
    <w:rsid w:val="00D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972211A-8C9D-4D32-B0D2-77482B15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23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F4234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F423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4234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F4234"/>
    <w:pPr>
      <w:spacing w:before="100" w:beforeAutospacing="1" w:after="100" w:afterAutospacing="1"/>
    </w:p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995279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995279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E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EC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1463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2019-02-25T17:47:00Z</cp:lastPrinted>
  <dcterms:created xsi:type="dcterms:W3CDTF">2019-02-22T19:47:00Z</dcterms:created>
  <dcterms:modified xsi:type="dcterms:W3CDTF">2019-03-15T00:56:00Z</dcterms:modified>
</cp:coreProperties>
</file>